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4E1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b/>
          <w:bCs/>
          <w:szCs w:val="20"/>
          <w:lang w:eastAsia="pl-PL"/>
        </w:rPr>
      </w:pPr>
    </w:p>
    <w:p w:rsidR="000F14E1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b/>
          <w:bCs/>
          <w:szCs w:val="20"/>
          <w:lang w:eastAsia="pl-PL"/>
        </w:rPr>
      </w:pPr>
    </w:p>
    <w:p w:rsidR="000F14E1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b/>
          <w:bCs/>
          <w:szCs w:val="20"/>
          <w:lang w:eastAsia="pl-PL"/>
        </w:rPr>
      </w:pPr>
    </w:p>
    <w:p w:rsidR="000F14E1" w:rsidRPr="000F14E1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b/>
          <w:bCs/>
          <w:szCs w:val="20"/>
          <w:lang w:eastAsia="pl-PL"/>
        </w:rPr>
      </w:pPr>
      <w:r w:rsidRPr="000F14E1">
        <w:rPr>
          <w:rFonts w:ascii="Bookman Old Style" w:eastAsiaTheme="minorEastAsia" w:hAnsi="Bookman Old Style" w:cs="Times New Roman"/>
          <w:b/>
          <w:bCs/>
          <w:szCs w:val="20"/>
          <w:lang w:eastAsia="pl-PL"/>
        </w:rPr>
        <w:t>Załącznik nr 3 do SIWZ – Formularz cenowy</w:t>
      </w:r>
    </w:p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5569"/>
        <w:gridCol w:w="592"/>
        <w:gridCol w:w="826"/>
        <w:gridCol w:w="1608"/>
        <w:gridCol w:w="814"/>
        <w:gridCol w:w="909"/>
        <w:gridCol w:w="1548"/>
        <w:gridCol w:w="1641"/>
      </w:tblGrid>
      <w:tr w:rsidR="000F14E1" w:rsidRPr="000F14E1" w:rsidTr="00F3149E">
        <w:trPr>
          <w:trHeight w:val="96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Nazwa artykułu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Jm.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Producent/ nr katalogowy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Cena netto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Stawka VAT %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Wartość netto (kol. 6 x kol 7)+kol. 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Wartość brutto (kol. 9 x kol. 7) + kol. 9 </w:t>
            </w:r>
          </w:p>
        </w:tc>
      </w:tr>
      <w:tr w:rsidR="000F14E1" w:rsidRPr="000F14E1" w:rsidTr="00F3149E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0F14E1" w:rsidRPr="000F14E1" w:rsidTr="00F3149E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CZĘŚĆ 1 </w:t>
            </w:r>
          </w:p>
        </w:tc>
      </w:tr>
      <w:tr w:rsidR="000F14E1" w:rsidRPr="000F14E1" w:rsidTr="00F3149E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4E1" w:rsidRPr="000F14E1" w:rsidRDefault="000F14E1" w:rsidP="000F14E1">
            <w:pPr>
              <w:spacing w:after="0" w:line="276" w:lineRule="auto"/>
              <w:jc w:val="both"/>
              <w:rPr>
                <w:rFonts w:ascii="Bookman Old Style" w:eastAsiaTheme="minorEastAsia" w:hAnsi="Bookman Old Style" w:cs="Times New Roman"/>
                <w:sz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/>
                <w:bCs/>
                <w:sz w:val="18"/>
                <w:lang w:eastAsia="pl-PL"/>
              </w:rPr>
              <w:t>Fartuch ochronny -</w:t>
            </w:r>
            <w:r w:rsidRPr="000F14E1">
              <w:rPr>
                <w:rFonts w:ascii="Bookman Old Style" w:eastAsiaTheme="minorEastAsia" w:hAnsi="Bookman Old Style" w:cs="Times New Roman"/>
                <w:bCs/>
                <w:sz w:val="18"/>
                <w:lang w:eastAsia="pl-PL"/>
              </w:rPr>
              <w:t xml:space="preserve"> wykonany z tkaniny sms o gramaturze min. 35 g, posiadający ściągacze na końcu rękawów, pakowany pojedynczo, wiązany,</w:t>
            </w:r>
            <w:r w:rsidRPr="000F14E1">
              <w:rPr>
                <w:rFonts w:ascii="Bookman Old Style" w:eastAsiaTheme="minorEastAsia" w:hAnsi="Bookman Old Style" w:cs="Times New Roman"/>
                <w:sz w:val="18"/>
                <w:lang w:eastAsia="pl-PL"/>
              </w:rPr>
              <w:t xml:space="preserve"> </w:t>
            </w:r>
          </w:p>
          <w:p w:rsidR="000F14E1" w:rsidRPr="000F14E1" w:rsidRDefault="000F14E1" w:rsidP="000F14E1">
            <w:pPr>
              <w:spacing w:after="0" w:line="276" w:lineRule="auto"/>
              <w:jc w:val="both"/>
              <w:rPr>
                <w:rFonts w:ascii="Bookman Old Style" w:eastAsiaTheme="minorEastAsia" w:hAnsi="Bookman Old Style" w:cs="Times New Roman"/>
                <w:bCs/>
                <w:sz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sz w:val="18"/>
                <w:lang w:eastAsia="pl-PL"/>
              </w:rPr>
              <w:t xml:space="preserve">Zgodny z normą PN-EN ISO 22612:2006 lub równoważną - deklaracja zgodności  na zgodność z wymaganiami  Rozporządzenia Ministra Zdrowia z dnia 17 lutego 2016 r. w sprawie wymagań zasadniczych oraz procedur oceny zgodności wyrobów medycznych (Dz. U. poz. 211) albo posiadający </w:t>
            </w:r>
            <w:r w:rsidRPr="000F14E1">
              <w:rPr>
                <w:rFonts w:ascii="Bookman Old Style" w:eastAsiaTheme="minorEastAsia" w:hAnsi="Bookman Old Style" w:cs="Times New Roman"/>
                <w:bCs/>
                <w:sz w:val="18"/>
                <w:lang w:eastAsia="pl-PL"/>
              </w:rPr>
              <w:t>deklarację zgodności z wymaganiami dyrektywy 93/42/EWG albo deklaracja zgodności z wymaganiami rozporządzenia (UE) 2017/745, oznakowanie znakiem CE</w:t>
            </w:r>
          </w:p>
          <w:p w:rsidR="000F14E1" w:rsidRPr="000F14E1" w:rsidRDefault="000F14E1" w:rsidP="000F14E1">
            <w:pPr>
              <w:spacing w:after="0" w:line="276" w:lineRule="auto"/>
              <w:jc w:val="both"/>
              <w:rPr>
                <w:rFonts w:ascii="Bookman Old Style" w:eastAsiaTheme="minorEastAsia" w:hAnsi="Bookman Old Style" w:cs="Calibri"/>
                <w:bCs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sz w:val="18"/>
                <w:szCs w:val="18"/>
                <w:lang w:eastAsia="pl-PL"/>
              </w:rPr>
              <w:t xml:space="preserve">długość za kolana, rozmiary L,XL,XXL. </w:t>
            </w:r>
          </w:p>
          <w:p w:rsidR="000F14E1" w:rsidRPr="000F14E1" w:rsidRDefault="000F14E1" w:rsidP="000F14E1">
            <w:pPr>
              <w:spacing w:after="0" w:line="276" w:lineRule="auto"/>
              <w:jc w:val="both"/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sz w:val="18"/>
                <w:szCs w:val="18"/>
                <w:lang w:eastAsia="pl-PL"/>
              </w:rPr>
              <w:t>Zamawiający dopuszcza aby fartuch ochronny był uszyty z  tkaniny, która jest zgodna z powyższymi normami i w tym wypadku wymaga certyfikatów dla tkaniny, a nie na  gotowy wyró</w:t>
            </w:r>
            <w:r w:rsidRPr="000F14E1">
              <w:rPr>
                <w:rFonts w:ascii="Bookman Old Style" w:eastAsiaTheme="minorEastAsia" w:hAnsi="Bookman Old Style" w:cs="Calibri"/>
                <w:bCs/>
                <w:color w:val="000000" w:themeColor="text1"/>
                <w:sz w:val="18"/>
                <w:szCs w:val="18"/>
                <w:lang w:eastAsia="pl-PL"/>
              </w:rPr>
              <w:t>b.</w:t>
            </w:r>
            <w:r w:rsidRPr="000F14E1"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</w:p>
          <w:p w:rsidR="00EA038F" w:rsidRPr="00EA038F" w:rsidRDefault="00EA038F" w:rsidP="00EA038F">
            <w:pPr>
              <w:spacing w:after="0" w:line="276" w:lineRule="auto"/>
              <w:jc w:val="both"/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</w:pPr>
            <w:r w:rsidRPr="00EA038F"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  <w:t>Zamawiający dopuszcza, ale nie wymaga sterylnego fartucha chirurgicznego wykonanego z włókniny polipropylenowej typu SMMMS o gramaturze 35g/m2, posiadającego na końcu rękawów elastyzne dzianinowe mankiety, wiązanego na troki, przy szyi zapinanie na rzep, długości: L – 135cm, XL – 145cm, XXL – 155cm, pakowanego pojedynczo, zgodnego z normą EN 13795 lub równoważną oraz wymaganiami dyrektywy 93/42/EWG</w:t>
            </w:r>
          </w:p>
          <w:p w:rsidR="00EA038F" w:rsidRPr="00EA038F" w:rsidRDefault="00EA038F" w:rsidP="00EA038F">
            <w:pPr>
              <w:spacing w:after="0" w:line="276" w:lineRule="auto"/>
              <w:jc w:val="both"/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</w:pPr>
          </w:p>
          <w:p w:rsidR="00EA038F" w:rsidRPr="000F14E1" w:rsidRDefault="00EA038F" w:rsidP="00EA038F">
            <w:pPr>
              <w:spacing w:after="0" w:line="276" w:lineRule="auto"/>
              <w:jc w:val="both"/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</w:pPr>
            <w:r w:rsidRPr="00EA038F"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  <w:lastRenderedPageBreak/>
              <w:t>Zamawiający dopuszcza aby włóknina SMS z której wyprodukowany jest fartuch spełniała standardowe wymagania normy PN-EN 13795-1,2:2019 lub równoważnej - obłożenia chirurgiczne, fartuchy i odzież medyczna dla bloków operacyjnych w zastąpieniu PN-EN ISO 22612:2006 lub równoważnej</w:t>
            </w:r>
          </w:p>
          <w:p w:rsidR="000F14E1" w:rsidRPr="000F14E1" w:rsidRDefault="00EA038F" w:rsidP="000F14E1">
            <w:pPr>
              <w:spacing w:after="0" w:line="276" w:lineRule="auto"/>
              <w:jc w:val="both"/>
              <w:rPr>
                <w:rFonts w:ascii="Bookman Old Style" w:eastAsiaTheme="minorEastAsia" w:hAnsi="Bookman Old Style" w:cs="Calibri"/>
                <w:bCs/>
                <w:sz w:val="18"/>
                <w:szCs w:val="18"/>
                <w:lang w:eastAsia="pl-PL"/>
              </w:rPr>
            </w:pPr>
            <w:r w:rsidRPr="00EA038F">
              <w:rPr>
                <w:rFonts w:ascii="Bookman Old Style" w:eastAsiaTheme="minorEastAsia" w:hAnsi="Bookman Old Style" w:cs="Calibri"/>
                <w:bCs/>
                <w:color w:val="FF0000"/>
                <w:sz w:val="18"/>
                <w:szCs w:val="18"/>
                <w:lang w:eastAsia="pl-PL"/>
              </w:rPr>
              <w:t>Zamawiający dopuszcza, ale nie wymaga fartuchów, które są środkiem ochrony indywidualnej kat I, uznawane za wyrób medyczny zgodne z normą EN 13795 lub równoważną, sterylne lub przeznaczone do sterylizacji, do stosowania wyłącznie przez personel medyczny w pomieszczeniach wymagających zachowania szczególnej czystości mikrobiologicznej – takich jak sale operacyjne, oddziały intensywnej opieki medycznej, czy w opiece nad pacjentami o obniżonej odporności.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lastRenderedPageBreak/>
              <w:t>Szt.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6500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F14E1" w:rsidRPr="000F14E1" w:rsidTr="00F3149E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CZĘŚĆ 2</w:t>
            </w:r>
          </w:p>
        </w:tc>
      </w:tr>
      <w:tr w:rsidR="000F14E1" w:rsidRPr="000F14E1" w:rsidTr="00F3149E">
        <w:trPr>
          <w:trHeight w:val="2193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4E1" w:rsidRPr="000F14E1" w:rsidRDefault="000F14E1" w:rsidP="000F14E1">
            <w:pPr>
              <w:spacing w:after="0" w:line="276" w:lineRule="auto"/>
              <w:jc w:val="both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Półmaska o klasie filtra FFP 3 </w:t>
            </w: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- maska ochronna przeciwpyłowa, wielorazowa, wyposażona w filtr (węglowy + HEPA) mocowanie na gumki, posiada zawór wentylacyjny, profilowanie do twarzy, zgodna z normami PN-EN 149+A1:2010 lub równoważnymi, posiadające deklaracje zgodności z wymogami rozporządzenia (UE)  2016/425, oznakowanie znakiem CE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1 500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F14E1" w:rsidRPr="000F14E1" w:rsidTr="00F3149E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  <w:t>CZĘŚĆ 3</w:t>
            </w:r>
          </w:p>
        </w:tc>
      </w:tr>
      <w:tr w:rsidR="000F14E1" w:rsidRPr="000F14E1" w:rsidTr="000F14E1">
        <w:trPr>
          <w:trHeight w:val="60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Times New Roman"/>
                <w:bCs/>
                <w:sz w:val="16"/>
                <w:szCs w:val="16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4E1" w:rsidRPr="000F14E1" w:rsidRDefault="000F14E1" w:rsidP="000F14E1">
            <w:pPr>
              <w:spacing w:after="0" w:line="276" w:lineRule="auto"/>
              <w:jc w:val="both"/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/>
                <w:bCs/>
                <w:sz w:val="18"/>
                <w:szCs w:val="18"/>
                <w:lang w:eastAsia="pl-PL"/>
              </w:rPr>
              <w:t>Maska chirurgiczna trójwarstwowa</w:t>
            </w:r>
            <w:r w:rsidRPr="000F14E1"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  <w:t xml:space="preserve"> - wykonana z polipropylenu, jednorazowa, trójwarstwowa, medyczna, posiada elastyczny metalowy nosek zapewniający idealne dopasowanie</w:t>
            </w:r>
          </w:p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  <w:t xml:space="preserve">Maseczki chirurgiczne powinny spełniać następujące wymagania: </w:t>
            </w:r>
          </w:p>
          <w:p w:rsidR="000F14E1" w:rsidRPr="000F14E1" w:rsidRDefault="000F14E1" w:rsidP="000F14E1">
            <w:pPr>
              <w:numPr>
                <w:ilvl w:val="0"/>
                <w:numId w:val="1"/>
              </w:numPr>
              <w:spacing w:after="0" w:line="276" w:lineRule="auto"/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  <w:t>zgodność z normami: PN-EN 14683:2006 lub równoważnymi- Maski chirurgiczne - Wymagania i metody badania (lub odpowiednio EN 14683:2005 lub równoważna)</w:t>
            </w:r>
          </w:p>
          <w:p w:rsidR="000F14E1" w:rsidRPr="000F14E1" w:rsidRDefault="000F14E1" w:rsidP="000F14E1">
            <w:pPr>
              <w:numPr>
                <w:ilvl w:val="0"/>
                <w:numId w:val="1"/>
              </w:numPr>
              <w:spacing w:after="0" w:line="276" w:lineRule="auto"/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  <w:lastRenderedPageBreak/>
              <w:t>deklaracja zgodności  na zgodność z wymaganiami Rozporządzenia Ministra Zdrowia z dnia 17 lutego 2016 r. w sprawie wymagań zasadniczych oraz procedur oceny zgodności wyrobów medycznych (Dz. U. poz. 211) albo deklaracja zgodności z wymaganiami dyrektywy 93/42/EWG,  albo deklaracja zgodności z wymaganiami rozporządzenia (UE) 2017/745</w:t>
            </w:r>
          </w:p>
          <w:p w:rsidR="000F14E1" w:rsidRPr="000F14E1" w:rsidRDefault="000F14E1" w:rsidP="000F14E1">
            <w:pPr>
              <w:numPr>
                <w:ilvl w:val="0"/>
                <w:numId w:val="1"/>
              </w:numPr>
              <w:spacing w:after="0" w:line="276" w:lineRule="auto"/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  <w:t>oznakowanie znakiem CE</w:t>
            </w:r>
          </w:p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Cs/>
                <w:sz w:val="16"/>
                <w:szCs w:val="16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Cs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  <w:t>3 000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</w:pPr>
            <w:r w:rsidRPr="000F14E1"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0F14E1" w:rsidRPr="000F14E1" w:rsidTr="00F3149E">
        <w:trPr>
          <w:trHeight w:val="300"/>
        </w:trPr>
        <w:tc>
          <w:tcPr>
            <w:tcW w:w="143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CZĘŚĆ 4</w:t>
            </w:r>
          </w:p>
        </w:tc>
      </w:tr>
      <w:tr w:rsidR="000F14E1" w:rsidRPr="000F14E1" w:rsidTr="00F3149E">
        <w:trPr>
          <w:trHeight w:val="32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jc w:val="center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14E1" w:rsidRPr="000F14E1" w:rsidRDefault="000F14E1" w:rsidP="000F14E1">
            <w:pPr>
              <w:jc w:val="both"/>
              <w:rPr>
                <w:rFonts w:eastAsiaTheme="minorEastAsia" w:cs="Times New Roman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Rękawice jednorazowe ochronne długie, </w:t>
            </w: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diagnostyczne wykonane z nitrylu, bezpudrowe, mankiet rolowany. Lekko teksturowane z dodatkową teksturą na końcach palców o długości całkowitej 300 mm- 500 mm, o  grubości rękawic w palcach, mediana  min. 0,14 mm +/- 0,02 mm, na dłoni mediana  min. 0,10mm +/-0,02 mm. Przebadane na -przenikanie wirusów zgodnie z normą ASTM F 1671/EN 374-5:2016 lub równoważną, przenikanie substancji chemicznych zgodnie z normą EN 374-3/EN 16523-1 lub równoważną. Zarejestrowane jako środek ochrony indywidualnej kat. III.</w:t>
            </w:r>
            <w:r w:rsidRPr="000F14E1">
              <w:rPr>
                <w:rFonts w:eastAsiaTheme="minorEastAsia" w:cs="Times New Roman"/>
                <w:lang w:eastAsia="pl-PL"/>
              </w:rPr>
              <w:t xml:space="preserve"> </w:t>
            </w:r>
          </w:p>
          <w:p w:rsidR="000F14E1" w:rsidRPr="000F14E1" w:rsidRDefault="000F14E1" w:rsidP="000F14E1">
            <w:pPr>
              <w:jc w:val="both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Konieczne jest spełnienie normy PN-EN ISO 374-2 lub równoważnej albo PN-EN ISO 374-1 lub równowaznej, która jest zharmonizowana z rozporządzeniem 2016/425. Wymagana jest także deklaracja zgodności na spełnienie wymagań zasadniczych rozporządzenia UE 2016/425.</w:t>
            </w:r>
          </w:p>
          <w:p w:rsidR="000F14E1" w:rsidRPr="000F14E1" w:rsidRDefault="000F14E1" w:rsidP="000F14E1">
            <w:pPr>
              <w:jc w:val="both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Rozmiary:  S, M, L, XL.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Cs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5 000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4E1" w:rsidRPr="000F14E1" w:rsidRDefault="000F14E1" w:rsidP="000F14E1">
            <w:pPr>
              <w:spacing w:after="0" w:line="276" w:lineRule="auto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F14E1"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14E1" w:rsidRPr="000F14E1" w:rsidRDefault="000F14E1" w:rsidP="000F14E1">
            <w:pPr>
              <w:spacing w:after="0" w:line="276" w:lineRule="auto"/>
              <w:jc w:val="right"/>
              <w:rPr>
                <w:rFonts w:ascii="Bookman Old Style" w:eastAsiaTheme="minorEastAsia" w:hAnsi="Bookman Old Style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EA038F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sz w:val="16"/>
          <w:szCs w:val="16"/>
          <w:lang w:eastAsia="pl-PL"/>
        </w:rPr>
      </w:pPr>
      <w:r w:rsidRPr="000F14E1">
        <w:rPr>
          <w:rFonts w:ascii="Bookman Old Style" w:eastAsiaTheme="minorEastAsia" w:hAnsi="Bookman Old Style" w:cs="Times New Roman"/>
          <w:sz w:val="16"/>
          <w:szCs w:val="20"/>
          <w:lang w:eastAsia="pl-PL"/>
        </w:rPr>
        <w:t>Uwaga:1) Należy podać dokładną, pełną nazwę producenta, modelu i symbolu producenta oferowanego towaru</w:t>
      </w: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16"/>
          <w:szCs w:val="16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16"/>
          <w:szCs w:val="16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16"/>
          <w:szCs w:val="16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16"/>
          <w:szCs w:val="16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16"/>
          <w:szCs w:val="16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16"/>
          <w:szCs w:val="16"/>
          <w:lang w:eastAsia="pl-PL"/>
        </w:rPr>
        <w:tab/>
      </w:r>
    </w:p>
    <w:p w:rsidR="000F14E1" w:rsidRPr="000F14E1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sz w:val="16"/>
          <w:szCs w:val="20"/>
          <w:lang w:eastAsia="pl-PL"/>
        </w:rPr>
      </w:pPr>
      <w:r w:rsidRPr="000F14E1">
        <w:rPr>
          <w:rFonts w:ascii="Bookman Old Style" w:eastAsiaTheme="minorEastAsia" w:hAnsi="Bookman Old Style" w:cs="Times New Roman"/>
          <w:sz w:val="16"/>
          <w:szCs w:val="16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Cs w:val="20"/>
          <w:lang w:eastAsia="pl-PL"/>
        </w:rPr>
        <w:tab/>
      </w:r>
    </w:p>
    <w:p w:rsidR="000F14E1" w:rsidRPr="000F14E1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 xml:space="preserve"> ….…………………………………….                                        </w:t>
      </w: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ab/>
        <w:t xml:space="preserve">          ……………………………………………….</w:t>
      </w:r>
    </w:p>
    <w:p w:rsidR="000F14E1" w:rsidRPr="000F14E1" w:rsidRDefault="000F14E1" w:rsidP="000F14E1">
      <w:pPr>
        <w:spacing w:after="0" w:line="276" w:lineRule="auto"/>
        <w:rPr>
          <w:rFonts w:ascii="Bookman Old Style" w:eastAsiaTheme="minorEastAsia" w:hAnsi="Bookman Old Style" w:cs="Times New Roman"/>
          <w:sz w:val="20"/>
          <w:szCs w:val="20"/>
          <w:lang w:eastAsia="pl-PL"/>
        </w:rPr>
      </w:pP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 xml:space="preserve">  Pieczęć firmy                                                  </w:t>
      </w: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ab/>
      </w:r>
      <w:r w:rsidRPr="000F14E1">
        <w:rPr>
          <w:rFonts w:ascii="Bookman Old Style" w:eastAsiaTheme="minorEastAsia" w:hAnsi="Bookman Old Style" w:cs="Times New Roman"/>
          <w:sz w:val="20"/>
          <w:szCs w:val="20"/>
          <w:lang w:eastAsia="pl-PL"/>
        </w:rPr>
        <w:tab/>
        <w:t xml:space="preserve">   Podpis uprawnionego przedstawiciela</w:t>
      </w:r>
    </w:p>
    <w:p w:rsidR="000F14E1" w:rsidRPr="000F14E1" w:rsidRDefault="00EA038F" w:rsidP="00EA038F">
      <w:pPr>
        <w:tabs>
          <w:tab w:val="left" w:pos="6135"/>
        </w:tabs>
        <w:spacing w:after="0" w:line="276" w:lineRule="auto"/>
        <w:rPr>
          <w:rFonts w:ascii="Bookman Old Style" w:eastAsiaTheme="minorEastAsia" w:hAnsi="Bookman Old Style" w:cs="Times New Roman"/>
          <w:bCs/>
          <w:sz w:val="16"/>
          <w:szCs w:val="20"/>
          <w:lang w:eastAsia="pl-PL"/>
        </w:rPr>
      </w:pPr>
      <w:r>
        <w:rPr>
          <w:rFonts w:ascii="Bookman Old Style" w:eastAsiaTheme="minorEastAsia" w:hAnsi="Bookman Old Style" w:cs="Times New Roman"/>
          <w:bCs/>
          <w:sz w:val="16"/>
          <w:szCs w:val="20"/>
          <w:lang w:eastAsia="pl-PL"/>
        </w:rPr>
        <w:tab/>
      </w:r>
    </w:p>
    <w:p w:rsidR="00EA038F" w:rsidRDefault="000F14E1" w:rsidP="00EA038F">
      <w:pPr>
        <w:spacing w:after="0" w:line="276" w:lineRule="auto"/>
      </w:pPr>
      <w:r w:rsidRPr="000F14E1">
        <w:rPr>
          <w:rFonts w:ascii="Bookman Old Style" w:eastAsiaTheme="minorEastAsia" w:hAnsi="Bookman Old Style" w:cs="Times New Roman"/>
          <w:bCs/>
          <w:sz w:val="16"/>
          <w:szCs w:val="20"/>
          <w:lang w:eastAsia="pl-PL"/>
        </w:rPr>
        <w:t>Uwaga, w przypadku Wykonawców nie mających siedziby lub miejsca zamieszkania na terytorium Rzeczypospolitej Polskiej formularz należy wypełnić podając cenę netto, wyrażoną w PLN (nie uwzględniającą podatku od towarów i usług obowiązującego w Polsce), obejmującą wszelkie koszty związane z wykonaniem zamówienia, wszystkie opłaty, podatki (bez podatku od towarów i usług VAT) i wszystkie inne koszty o jakimkolwiek charakterze, które mogą powstać w związku z r</w:t>
      </w:r>
      <w:r>
        <w:rPr>
          <w:rFonts w:ascii="Bookman Old Style" w:eastAsiaTheme="minorEastAsia" w:hAnsi="Bookman Old Style" w:cs="Times New Roman"/>
          <w:bCs/>
          <w:sz w:val="16"/>
          <w:szCs w:val="20"/>
          <w:lang w:eastAsia="pl-PL"/>
        </w:rPr>
        <w:t>ealizacją przedmiotu zamówieni</w:t>
      </w:r>
      <w:r w:rsidR="00EA038F">
        <w:rPr>
          <w:rFonts w:ascii="Bookman Old Style" w:eastAsiaTheme="minorEastAsia" w:hAnsi="Bookman Old Style" w:cs="Times New Roman"/>
          <w:bCs/>
          <w:sz w:val="16"/>
          <w:szCs w:val="20"/>
          <w:lang w:eastAsia="pl-PL"/>
        </w:rPr>
        <w:t>a</w:t>
      </w:r>
      <w:bookmarkStart w:id="0" w:name="_GoBack"/>
      <w:bookmarkEnd w:id="0"/>
    </w:p>
    <w:sectPr w:rsidR="00EA038F" w:rsidSect="000F14E1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4E1" w:rsidRDefault="000F14E1" w:rsidP="000F14E1">
      <w:pPr>
        <w:spacing w:after="0" w:line="240" w:lineRule="auto"/>
      </w:pPr>
      <w:r>
        <w:separator/>
      </w:r>
    </w:p>
  </w:endnote>
  <w:endnote w:type="continuationSeparator" w:id="0">
    <w:p w:rsidR="000F14E1" w:rsidRDefault="000F14E1" w:rsidP="000F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5FF" w:rsidRDefault="00EA038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C05FF" w:rsidRDefault="00EA038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4E1" w:rsidRDefault="000F14E1" w:rsidP="000F14E1">
      <w:pPr>
        <w:spacing w:after="0" w:line="240" w:lineRule="auto"/>
      </w:pPr>
      <w:r>
        <w:separator/>
      </w:r>
    </w:p>
  </w:footnote>
  <w:footnote w:type="continuationSeparator" w:id="0">
    <w:p w:rsidR="000F14E1" w:rsidRDefault="000F14E1" w:rsidP="000F1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4E1" w:rsidRDefault="000F14E1" w:rsidP="000F14E1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73420" cy="506095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054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4E1"/>
    <w:rsid w:val="000F14E1"/>
    <w:rsid w:val="008D3D86"/>
    <w:rsid w:val="00E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2B3CFB-AEDA-4073-9C09-DF7E67C4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4E1"/>
  </w:style>
  <w:style w:type="paragraph" w:styleId="Nagwek">
    <w:name w:val="header"/>
    <w:basedOn w:val="Normalny"/>
    <w:link w:val="NagwekZnak"/>
    <w:uiPriority w:val="99"/>
    <w:unhideWhenUsed/>
    <w:rsid w:val="000F1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Dolistowska</dc:creator>
  <cp:keywords/>
  <dc:description/>
  <cp:lastModifiedBy>Marzena Dolistowska</cp:lastModifiedBy>
  <cp:revision>1</cp:revision>
  <dcterms:created xsi:type="dcterms:W3CDTF">2020-10-15T11:13:00Z</dcterms:created>
  <dcterms:modified xsi:type="dcterms:W3CDTF">2020-10-15T11:31:00Z</dcterms:modified>
</cp:coreProperties>
</file>