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A9" w:rsidRPr="00974A1A" w:rsidRDefault="00AE62A9" w:rsidP="00AE62A9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  <w:sz w:val="22"/>
          <w:szCs w:val="22"/>
        </w:rPr>
      </w:pPr>
      <w:r w:rsidRPr="00974A1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974A1A">
        <w:rPr>
          <w:b/>
          <w:sz w:val="22"/>
          <w:szCs w:val="22"/>
        </w:rPr>
        <w:t xml:space="preserve"> do SWZ – </w:t>
      </w:r>
      <w:r w:rsidRPr="00974A1A">
        <w:rPr>
          <w:b/>
          <w:bCs/>
          <w:sz w:val="22"/>
          <w:szCs w:val="22"/>
        </w:rPr>
        <w:t>FORMUL</w:t>
      </w:r>
      <w:bookmarkStart w:id="0" w:name="_GoBack"/>
      <w:bookmarkEnd w:id="0"/>
      <w:r w:rsidRPr="00974A1A">
        <w:rPr>
          <w:b/>
          <w:bCs/>
          <w:sz w:val="22"/>
          <w:szCs w:val="22"/>
        </w:rPr>
        <w:t xml:space="preserve">ARZ CENOWY </w:t>
      </w:r>
    </w:p>
    <w:p w:rsidR="00AE62A9" w:rsidRPr="00E20DB3" w:rsidRDefault="00AE62A9" w:rsidP="00AE62A9">
      <w:pPr>
        <w:suppressAutoHyphens/>
        <w:spacing w:line="276" w:lineRule="auto"/>
        <w:rPr>
          <w:rFonts w:eastAsia="Times New Roman"/>
          <w:sz w:val="16"/>
          <w:szCs w:val="22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61"/>
        <w:gridCol w:w="1417"/>
        <w:gridCol w:w="1134"/>
        <w:gridCol w:w="1418"/>
        <w:gridCol w:w="850"/>
        <w:gridCol w:w="1177"/>
        <w:gridCol w:w="1215"/>
        <w:gridCol w:w="1902"/>
        <w:gridCol w:w="1902"/>
        <w:gridCol w:w="1902"/>
      </w:tblGrid>
      <w:tr w:rsidR="00AE62A9" w:rsidRPr="00974A1A" w:rsidTr="002131B6">
        <w:trPr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Rodzaj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Paliwa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Ilość paliwa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(litry)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Cena netto 1litra paliwa obowiązująca w dniu</w:t>
            </w:r>
            <w:r w:rsidRPr="00974A1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974A1A">
              <w:rPr>
                <w:b/>
                <w:bCs/>
                <w:iCs/>
                <w:sz w:val="22"/>
                <w:szCs w:val="22"/>
              </w:rPr>
              <w:t>.0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974A1A">
              <w:rPr>
                <w:b/>
                <w:bCs/>
                <w:iCs/>
                <w:sz w:val="22"/>
                <w:szCs w:val="22"/>
              </w:rPr>
              <w:t>.2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Pr="00974A1A">
              <w:rPr>
                <w:b/>
                <w:bCs/>
                <w:iCs/>
                <w:sz w:val="22"/>
                <w:szCs w:val="22"/>
              </w:rPr>
              <w:t>r.</w:t>
            </w: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Stawka VAT (%)</w:t>
            </w: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 xml:space="preserve">Cena brutto 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 xml:space="preserve">1 litra paliwa obowiązująca w dniu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974A1A">
              <w:rPr>
                <w:b/>
                <w:bCs/>
                <w:iCs/>
                <w:sz w:val="22"/>
                <w:szCs w:val="22"/>
              </w:rPr>
              <w:t>.0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974A1A">
              <w:rPr>
                <w:b/>
                <w:bCs/>
                <w:iCs/>
                <w:sz w:val="22"/>
                <w:szCs w:val="22"/>
              </w:rPr>
              <w:t>.2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  <w:r w:rsidRPr="00974A1A">
              <w:rPr>
                <w:b/>
                <w:bCs/>
                <w:iCs/>
                <w:sz w:val="22"/>
                <w:szCs w:val="22"/>
              </w:rPr>
              <w:t>r.</w:t>
            </w: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Stały upust          w %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 xml:space="preserve">Cena brutto 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 xml:space="preserve">1 litra paliwa 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74A1A">
              <w:rPr>
                <w:b/>
                <w:sz w:val="22"/>
                <w:szCs w:val="22"/>
              </w:rPr>
              <w:t>po upuście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Wartość netto paliwa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974A1A">
              <w:rPr>
                <w:sz w:val="22"/>
                <w:szCs w:val="22"/>
              </w:rPr>
              <w:t>Kol.3x kol. 2</w:t>
            </w:r>
          </w:p>
        </w:tc>
        <w:tc>
          <w:tcPr>
            <w:tcW w:w="1902" w:type="dxa"/>
          </w:tcPr>
          <w:p w:rsidR="00AE62A9" w:rsidRPr="00974A1A" w:rsidRDefault="00AE62A9" w:rsidP="002131B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E62A9" w:rsidRPr="00974A1A" w:rsidRDefault="00AE62A9" w:rsidP="002131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Wartość brutto paliwa</w:t>
            </w:r>
            <w:r w:rsidRPr="00974A1A">
              <w:rPr>
                <w:sz w:val="22"/>
                <w:szCs w:val="22"/>
              </w:rPr>
              <w:t xml:space="preserve"> </w:t>
            </w:r>
          </w:p>
          <w:p w:rsidR="00AE62A9" w:rsidRPr="00974A1A" w:rsidRDefault="00AE62A9" w:rsidP="002131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4A1A">
              <w:rPr>
                <w:sz w:val="22"/>
                <w:szCs w:val="22"/>
              </w:rPr>
              <w:t>(kol.8 x kol.4) + kol.8</w:t>
            </w: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Wartość netto paliwa po upuście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974A1A">
              <w:rPr>
                <w:sz w:val="22"/>
                <w:szCs w:val="22"/>
              </w:rPr>
              <w:t>kol.8-(kol.6 x kol.8)</w:t>
            </w: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Wartość brutto paliwa po upuście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974A1A">
              <w:rPr>
                <w:sz w:val="22"/>
                <w:szCs w:val="22"/>
              </w:rPr>
              <w:t xml:space="preserve">(kol.10 x kol. 4) </w:t>
            </w:r>
          </w:p>
          <w:p w:rsidR="00AE62A9" w:rsidRPr="00974A1A" w:rsidRDefault="00AE62A9" w:rsidP="002131B6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vertAlign w:val="subscript"/>
              </w:rPr>
            </w:pPr>
            <w:r w:rsidRPr="00974A1A">
              <w:rPr>
                <w:sz w:val="22"/>
                <w:szCs w:val="22"/>
              </w:rPr>
              <w:t>+ kol. 10</w:t>
            </w:r>
          </w:p>
        </w:tc>
      </w:tr>
      <w:tr w:rsidR="00AE62A9" w:rsidRPr="00974A1A" w:rsidTr="002131B6">
        <w:trPr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15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11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Część 1 – Bezgotówkowe tankowanie pojazdów w Bielsku Podlaskim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18 250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2 – Bezgotówkowe tankowanie pojazdów  w Dąbrowie Białostockiej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6 950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3 – Bezgotówkowe tankowanie pojazdów w Hajnówce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12 750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4 – Bezgotówkowe tankowanie pojazdów w Białymstoku + cała Polska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5 – Bezgotówkowe tankowanie pojazdów  w Łapach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lastRenderedPageBreak/>
              <w:t>Cześć 6 – Bezgotówkowe tankowanie pojazdów w Mońkach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974A1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7 – Bezgotówkowe tankowanie pojazdów  w Siemiatyczach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9 850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8 – Bezgotówkowe tankowanie pojazdów w Sokółce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15 650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9 – Bezgotówkowe tankowanie ON pojazdów w  Drohiczynie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3 850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10 – Bezgotówkowe tankowanie pojazdów w Suchowoli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6 950</w:t>
            </w:r>
          </w:p>
        </w:tc>
        <w:tc>
          <w:tcPr>
            <w:tcW w:w="141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5039" w:type="dxa"/>
            <w:gridSpan w:val="11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Cześć 11 – Bezgotówkowe tankowanie pojazdów w Brańsku</w:t>
            </w: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1061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974A1A"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417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62A9" w:rsidRPr="00974A1A" w:rsidTr="002131B6">
        <w:trPr>
          <w:trHeight w:val="454"/>
          <w:jc w:val="center"/>
        </w:trPr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96" w:type="dxa"/>
            <w:gridSpan w:val="5"/>
            <w:vAlign w:val="center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  <w:r w:rsidRPr="00974A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15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:rsidR="00AE62A9" w:rsidRPr="00974A1A" w:rsidRDefault="00AE62A9" w:rsidP="002131B6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AE62A9" w:rsidRPr="00E20DB3" w:rsidRDefault="00AE62A9" w:rsidP="00AE62A9">
      <w:pPr>
        <w:suppressAutoHyphens/>
        <w:spacing w:line="276" w:lineRule="auto"/>
        <w:rPr>
          <w:rFonts w:eastAsia="Times New Roman"/>
          <w:sz w:val="8"/>
          <w:szCs w:val="22"/>
        </w:rPr>
      </w:pPr>
    </w:p>
    <w:p w:rsidR="00AE62A9" w:rsidRPr="00E20DB3" w:rsidRDefault="00AE62A9" w:rsidP="00AE62A9">
      <w:pPr>
        <w:suppressAutoHyphens/>
        <w:spacing w:line="276" w:lineRule="auto"/>
        <w:rPr>
          <w:rFonts w:eastAsia="Times New Roman"/>
          <w:sz w:val="16"/>
          <w:szCs w:val="22"/>
        </w:rPr>
      </w:pPr>
      <w:r w:rsidRPr="00E20DB3">
        <w:rPr>
          <w:rFonts w:eastAsia="Times New Roman"/>
          <w:sz w:val="16"/>
          <w:szCs w:val="22"/>
        </w:rPr>
        <w:t>Uwaga: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realizacją przedmiotu zamówienia</w:t>
      </w:r>
    </w:p>
    <w:p w:rsidR="00AE62A9" w:rsidRDefault="00AE62A9" w:rsidP="00AE62A9">
      <w:pPr>
        <w:suppressAutoHyphens/>
        <w:spacing w:line="276" w:lineRule="auto"/>
        <w:rPr>
          <w:rFonts w:eastAsia="Times New Roman"/>
          <w:sz w:val="22"/>
          <w:szCs w:val="22"/>
        </w:rPr>
      </w:pPr>
    </w:p>
    <w:p w:rsidR="00D64416" w:rsidRDefault="00AE62A9" w:rsidP="00AE62A9">
      <w:r w:rsidRPr="00974A1A">
        <w:rPr>
          <w:rFonts w:eastAsia="Times New Roman"/>
          <w:sz w:val="22"/>
          <w:szCs w:val="22"/>
        </w:rPr>
        <w:t>Dokument składany w postaci elektronicznej opatrzony kwalifikowanym podpisem elektronicznym- podpis osoby upoważnionej do reprezentacji Wykonawcy.</w:t>
      </w:r>
    </w:p>
    <w:sectPr w:rsidR="00D64416" w:rsidSect="00AE62A9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A9"/>
    <w:rsid w:val="00AE62A9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2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E62A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E62A9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2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E62A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E62A9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17BD-FC44-4FDC-8D01-896335CC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2023-01-18T10:01:00Z</dcterms:created>
  <dcterms:modified xsi:type="dcterms:W3CDTF">2023-01-18T10:02:00Z</dcterms:modified>
</cp:coreProperties>
</file>