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EC" w:rsidRPr="00F50EE9" w:rsidRDefault="005B4CEC" w:rsidP="005B4CEC">
      <w:pPr>
        <w:pBdr>
          <w:bottom w:val="double" w:sz="4" w:space="1" w:color="auto"/>
        </w:pBdr>
        <w:shd w:val="clear" w:color="auto" w:fill="D9D9D9"/>
        <w:spacing w:line="276" w:lineRule="auto"/>
        <w:ind w:left="852" w:hanging="852"/>
        <w:jc w:val="both"/>
        <w:rPr>
          <w:b/>
          <w:sz w:val="22"/>
          <w:szCs w:val="22"/>
        </w:rPr>
      </w:pPr>
      <w:bookmarkStart w:id="0" w:name="_GoBack"/>
      <w:r>
        <w:rPr>
          <w:b/>
          <w:bCs/>
          <w:color w:val="000000"/>
          <w:kern w:val="3"/>
        </w:rPr>
        <w:t>Załącznik nr3</w:t>
      </w:r>
      <w:r w:rsidRPr="00774C98">
        <w:rPr>
          <w:b/>
          <w:bCs/>
          <w:color w:val="000000"/>
          <w:kern w:val="3"/>
        </w:rPr>
        <w:t xml:space="preserve"> do SWZ – Formularz cenowy</w:t>
      </w:r>
      <w:bookmarkEnd w:id="0"/>
    </w:p>
    <w:p w:rsidR="005B4CEC" w:rsidRDefault="005B4CEC" w:rsidP="005B4CEC">
      <w:pPr>
        <w:suppressAutoHyphens/>
        <w:autoSpaceDN w:val="0"/>
        <w:spacing w:line="276" w:lineRule="auto"/>
        <w:textAlignment w:val="baseline"/>
        <w:rPr>
          <w:b/>
          <w:bCs/>
          <w:color w:val="000000"/>
          <w:kern w:val="3"/>
        </w:rPr>
      </w:pPr>
    </w:p>
    <w:tbl>
      <w:tblPr>
        <w:tblW w:w="1493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7149"/>
        <w:gridCol w:w="623"/>
        <w:gridCol w:w="855"/>
        <w:gridCol w:w="837"/>
        <w:gridCol w:w="1030"/>
        <w:gridCol w:w="1118"/>
        <w:gridCol w:w="1195"/>
        <w:gridCol w:w="1308"/>
      </w:tblGrid>
      <w:tr w:rsidR="005B4CEC" w:rsidRPr="00967C81" w:rsidTr="00C94A8B">
        <w:trPr>
          <w:trHeight w:val="117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7C81">
              <w:rPr>
                <w:b/>
                <w:bCs/>
                <w:color w:val="000000"/>
                <w:sz w:val="22"/>
                <w:szCs w:val="22"/>
              </w:rPr>
              <w:t>Część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7C81">
              <w:rPr>
                <w:b/>
                <w:bCs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67C81">
              <w:rPr>
                <w:b/>
                <w:bCs/>
                <w:color w:val="000000"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7C81">
              <w:rPr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7C81">
              <w:rPr>
                <w:b/>
                <w:bCs/>
                <w:color w:val="000000"/>
                <w:sz w:val="22"/>
                <w:szCs w:val="22"/>
              </w:rPr>
              <w:t>Stawka VAT %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7C81">
              <w:rPr>
                <w:b/>
                <w:bCs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1B04">
              <w:rPr>
                <w:b/>
                <w:bCs/>
                <w:color w:val="000000"/>
                <w:sz w:val="22"/>
                <w:szCs w:val="22"/>
              </w:rPr>
              <w:t xml:space="preserve">Cena </w:t>
            </w:r>
            <w:r>
              <w:rPr>
                <w:b/>
                <w:bCs/>
                <w:color w:val="000000"/>
                <w:sz w:val="22"/>
                <w:szCs w:val="22"/>
              </w:rPr>
              <w:t>brut</w:t>
            </w:r>
            <w:r w:rsidRPr="00551B04">
              <w:rPr>
                <w:b/>
                <w:bCs/>
                <w:color w:val="000000"/>
                <w:sz w:val="22"/>
                <w:szCs w:val="22"/>
              </w:rPr>
              <w:t>to</w:t>
            </w:r>
          </w:p>
        </w:tc>
        <w:tc>
          <w:tcPr>
            <w:tcW w:w="1195" w:type="dxa"/>
            <w:vAlign w:val="center"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7C81">
              <w:rPr>
                <w:b/>
                <w:bCs/>
                <w:color w:val="000000"/>
                <w:sz w:val="22"/>
                <w:szCs w:val="22"/>
              </w:rPr>
              <w:t>Wartość netto kol. 4 x kol 6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7C81">
              <w:rPr>
                <w:b/>
                <w:bCs/>
                <w:color w:val="000000"/>
                <w:sz w:val="22"/>
                <w:szCs w:val="22"/>
              </w:rPr>
              <w:t xml:space="preserve">Wartość brutto (kol. 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967C81">
              <w:rPr>
                <w:b/>
                <w:bCs/>
                <w:color w:val="000000"/>
                <w:sz w:val="22"/>
                <w:szCs w:val="22"/>
              </w:rPr>
              <w:t xml:space="preserve"> x kol. 5)+ kol. 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5B4CEC" w:rsidRPr="00967C81" w:rsidTr="00C94A8B">
        <w:trPr>
          <w:trHeight w:val="289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7C81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7C81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7C81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7C81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7C81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7C81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7C81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5B4CEC" w:rsidRPr="00967C81" w:rsidTr="00C94A8B">
        <w:trPr>
          <w:trHeight w:val="79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 xml:space="preserve">Łyżka jednorazowa typu „Miller”, światłowodowa, rozmiar 0 i 1. Kompatybilna ze wszystkimi standardowymi laryngoskopami z oświetleniem światłowodowym zgodnie z normą DIN EN ISO 7376-3 lub równoważną 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858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 xml:space="preserve"> Łyżka jednorazowa typu „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McIntosh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>”, światłowodowa, rozmiar 1; 2; 3; 4. Kompatybilna ze wszystkimi standardowymi laryngoskopami z oświetleniem światłowodowym zgodnie z normą DIN EN ISO 7376-3 lub równoważną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613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Żel do EKG 250ml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638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Zestaw porodowy jednorazowy. Rok produkcji – nie wcześniej niż 2022 (wymagany skład zestawu: pakiet wykorzystywany przed porodem, pakiet wykorzystywany w czasie porodu, pakiet wykorzystywany po porodzie)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706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Jednorazowy zestaw do drenażu opłucnej z zastawką bezzwrotną, z drenem na elastycznym trokarze o średnicy min. 9,3 mm. Rok produkcji – nie wcześniej niż 2022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1653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 xml:space="preserve">Zestaw do konikotomii ratowniczej dla osób powyżej 10 roku życia – pozwalający uzyskać w przypadku niedrożności górnych dróg oddechowych szybki dostęp do tchawicy pacjenta. Nie wymaga nacięcia skóry. Konstrukcja rękojeści zabezpiecza przed uszkodzeniem tylnej ścianki tchawicy w momencie wkłucia. Końcówka o średnicy 15 mm umożliwiająca wentylację przy użyciu worka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samorozprężalnego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>, respiratora lub bezpośrednio ustami. Całość sterylna. Rok produkcji – nie wcześniej niż 2022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87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 xml:space="preserve">Przedłużacz do pomp infuzyjnych 150 cm, wykonane z medycznego PVC bez zawartości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ftalanów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>, pakowany w rękaw foliowo-papierowy, napisy w języku polskim (nadrukowane nie naklejane). Rok produkcji – nie wcześniej niż 2022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6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Prowadnice do rurek – dla dorosłych 6FR,10FR, 14 FR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6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Prowadnice do rurek – dla dzieci fi 2,2 dl 230 mm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1128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Stabilizator rurki intubacyjnej z regulowanym bocznym uchwytem pozwalającym na łatwe i szybkie zamontowanie każdego rozmiaru rurki intubacyjnej, gryzak zapobiegający zabezpieczający rurkę, otwór do odsysania wydzieliny, rzepy do stabilizacji wokół głowy. Sterylny.  Rok produkcji – nie wcześniej niż 2022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60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 xml:space="preserve">Rurki nosowo-gardłowe (pełna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rozmiarówka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669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Strzykawka typu „Janeta” 100 ml z końcówką cewnikową, posiadająca dwustronną skalę pomiarową, sterylna. Rok produkcji – nie wcześniej niż 2022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1132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Opatrunek włókninowy do mocowania kaniul hipoalergiczny, wykonany z miękkiej włókniny o otwartej strukturze, o wysokiej przepuszczalności powietrza i pary wodnej, zapewniający stabilne mocowanie, z dodatkowym opatrunkiem w zestawie używanym jako podkładka pod stopkę kaniuli, wymiary 7,6 cm x 5,1 cm.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6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 xml:space="preserve">Worek (Kaczka) na mocz z zastawką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antyzwrotną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663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Worek na wymiociny o pojemności 1000ml lub większej, o konstrukcji uniemożliwiającej wydostanie się zapachu i treści.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535"/>
        </w:trPr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C81">
              <w:rPr>
                <w:sz w:val="22"/>
                <w:szCs w:val="22"/>
              </w:rPr>
              <w:t>16.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5B4CEC" w:rsidRPr="00967C81" w:rsidRDefault="005B4CEC" w:rsidP="00C94A8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Pojemniki na odpady</w:t>
            </w:r>
          </w:p>
        </w:tc>
        <w:tc>
          <w:tcPr>
            <w:tcW w:w="4463" w:type="dxa"/>
            <w:gridSpan w:val="5"/>
            <w:shd w:val="clear" w:color="auto" w:fill="auto"/>
            <w:noWrap/>
            <w:vAlign w:val="center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413"/>
        </w:trPr>
        <w:tc>
          <w:tcPr>
            <w:tcW w:w="816" w:type="dxa"/>
            <w:vMerge/>
            <w:vAlign w:val="center"/>
          </w:tcPr>
          <w:p w:rsidR="005B4CEC" w:rsidRPr="00967C81" w:rsidRDefault="005B4CEC" w:rsidP="00C94A8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149" w:type="dxa"/>
            <w:shd w:val="clear" w:color="auto" w:fill="auto"/>
            <w:vAlign w:val="center"/>
          </w:tcPr>
          <w:p w:rsidR="005B4CEC" w:rsidRPr="00967C81" w:rsidRDefault="005B4CEC" w:rsidP="00C94A8B">
            <w:pPr>
              <w:spacing w:line="276" w:lineRule="auto"/>
              <w:rPr>
                <w:sz w:val="22"/>
                <w:szCs w:val="22"/>
              </w:rPr>
            </w:pPr>
            <w:r w:rsidRPr="00967C81">
              <w:rPr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 xml:space="preserve"> </w:t>
            </w:r>
            <w:r w:rsidRPr="00967C81">
              <w:rPr>
                <w:sz w:val="22"/>
                <w:szCs w:val="22"/>
              </w:rPr>
              <w:t>Pojemnik na odpady med. Płaski „0,7 L”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C81">
              <w:rPr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C81">
              <w:rPr>
                <w:sz w:val="22"/>
                <w:szCs w:val="22"/>
              </w:rPr>
              <w:t>3 000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B4CEC" w:rsidRPr="00967C81" w:rsidTr="00C94A8B">
        <w:trPr>
          <w:trHeight w:val="418"/>
        </w:trPr>
        <w:tc>
          <w:tcPr>
            <w:tcW w:w="816" w:type="dxa"/>
            <w:vMerge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sz w:val="22"/>
                <w:szCs w:val="22"/>
              </w:rPr>
            </w:pPr>
            <w:r w:rsidRPr="00967C81">
              <w:rPr>
                <w:sz w:val="22"/>
                <w:szCs w:val="22"/>
              </w:rPr>
              <w:t>b)</w:t>
            </w:r>
            <w:r>
              <w:rPr>
                <w:sz w:val="22"/>
                <w:szCs w:val="22"/>
              </w:rPr>
              <w:t xml:space="preserve"> </w:t>
            </w:r>
            <w:r w:rsidRPr="00967C81">
              <w:rPr>
                <w:sz w:val="22"/>
                <w:szCs w:val="22"/>
              </w:rPr>
              <w:t>Pojemnik na odpady med. „1L”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C81">
              <w:rPr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C81">
              <w:rPr>
                <w:sz w:val="22"/>
                <w:szCs w:val="22"/>
              </w:rPr>
              <w:t>200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67C81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67C81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1547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lastRenderedPageBreak/>
              <w:t>17.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 xml:space="preserve">Zestaw do centralnego wkłucia z dostępu obwodowego jednokanałowy. Cewnik wykonany z poliuretanu z miękkim końcem, metalowa prowadnica z końcówką J, rozszerzadło, strzykawka 3-czesciowa 5 ml, kabelek łączący do EKG, zatyczka mocująca, igła wprowadzająca.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Rozm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>. G18 igła 1,3x70mm, prowadnica 0,89 dł. 50 mm, cewnik G14 1,4x2,1 dł. 20 cm. Rok produkcji nie wcześniej niż 2022.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967C81">
              <w:rPr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549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Basen sanitarny papierowy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67C81">
              <w:rPr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554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Miska nerkowata jednorazowego użytku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561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Podkłady chłonne 40-60 x60 (op. 30szt.)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op.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701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Cewnik typu „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Foleya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>” (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silikonowany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 xml:space="preserve">) z zastawka wykonana z lateksu lub plastiku z możliwością napełniania strzykawką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Luer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>.  Rozmiar od CH 14 do 26.  Rok produkcji – nie wcześniej niż 2021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499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Sterylne worki na mocz 2l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561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 xml:space="preserve">Elektrody samoprzylepne EKG dla dorosłych i dzieci z mokrym  żelem ciekłym do szybkiego monitorowania w warunkach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pozaszpitalnych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305 000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55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Elektrody samoprzylepne EKG noworodkowe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1966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 xml:space="preserve">Przyrząd do przetaczania płynów infuzyjnych, sterylny, wolny od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ftalanów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 xml:space="preserve">, zawierający  elastyczną komorę kroplową zaopatrzoną w odpowietrznik z filtrem przeciwbakteryjnym, zabezpieczony zatyczką. Igła biorcza ścięta dwupłaszczyznowo wykonana z materiału wzmocnionego, dwukanałowa. Kroplomierz komory 20 kropli = 1ml +/- 0.1ml. Dren o długości 150 cm -200cm, wyposażony w zacisk rolkowy pozwalający na precyzyjne podawanie płynów, łącznik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luer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>-lock z osłonką. Opakowanie typu blister-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pack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 xml:space="preserve"> .  Okres ważności min. 3 lata.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6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967C81">
              <w:rPr>
                <w:color w:val="000000"/>
                <w:sz w:val="22"/>
                <w:szCs w:val="22"/>
                <w:lang w:val="en-US"/>
              </w:rPr>
              <w:t>Osłonki</w:t>
            </w:r>
            <w:proofErr w:type="spellEnd"/>
            <w:r w:rsidRPr="00967C81">
              <w:rPr>
                <w:color w:val="000000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967C81">
              <w:rPr>
                <w:color w:val="000000"/>
                <w:sz w:val="22"/>
                <w:szCs w:val="22"/>
                <w:lang w:val="en-US"/>
              </w:rPr>
              <w:t>termonetru</w:t>
            </w:r>
            <w:proofErr w:type="spellEnd"/>
            <w:r w:rsidRPr="00967C8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67C81">
              <w:rPr>
                <w:color w:val="000000"/>
                <w:sz w:val="22"/>
                <w:szCs w:val="22"/>
                <w:lang w:val="en-US"/>
              </w:rPr>
              <w:t>ThermoScan</w:t>
            </w:r>
            <w:proofErr w:type="spellEnd"/>
            <w:r w:rsidRPr="00967C81">
              <w:rPr>
                <w:color w:val="000000"/>
                <w:sz w:val="22"/>
                <w:szCs w:val="22"/>
                <w:lang w:val="en-US"/>
              </w:rPr>
              <w:t xml:space="preserve"> PRO 6000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6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lastRenderedPageBreak/>
              <w:t>27.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Rurki krtaniowe 0,1,2,3,4,5. Okres ważności min. 3 lata.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567"/>
        </w:trPr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Strzykawki </w:t>
            </w:r>
          </w:p>
        </w:tc>
        <w:tc>
          <w:tcPr>
            <w:tcW w:w="4463" w:type="dxa"/>
            <w:gridSpan w:val="5"/>
            <w:shd w:val="clear" w:color="auto" w:fill="auto"/>
            <w:noWrap/>
            <w:vAlign w:val="center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548"/>
        </w:trPr>
        <w:tc>
          <w:tcPr>
            <w:tcW w:w="816" w:type="dxa"/>
            <w:vMerge/>
            <w:vAlign w:val="center"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149" w:type="dxa"/>
            <w:shd w:val="clear" w:color="auto" w:fill="auto"/>
            <w:vAlign w:val="center"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  <w:r w:rsidRPr="00967C81">
              <w:rPr>
                <w:color w:val="000000"/>
                <w:sz w:val="22"/>
                <w:szCs w:val="22"/>
              </w:rPr>
              <w:t xml:space="preserve"> Strzykawki 2ml, kontrastujący tłok, na strzykawce logo producenta, przedłużona o min. 10%, stożek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luer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 xml:space="preserve"> a’100szt.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op.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B4CEC" w:rsidRPr="00967C81" w:rsidTr="00C94A8B">
        <w:trPr>
          <w:trHeight w:val="548"/>
        </w:trPr>
        <w:tc>
          <w:tcPr>
            <w:tcW w:w="816" w:type="dxa"/>
            <w:vMerge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  <w:r w:rsidRPr="00967C81">
              <w:rPr>
                <w:color w:val="000000"/>
                <w:sz w:val="22"/>
                <w:szCs w:val="22"/>
              </w:rPr>
              <w:t xml:space="preserve"> Strzykawki 5ml, kontrastujący tłok, na strzykawce logo producenta, przedłużona o min. 10%, stożek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luer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 xml:space="preserve"> a’100szt.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op.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559"/>
        </w:trPr>
        <w:tc>
          <w:tcPr>
            <w:tcW w:w="816" w:type="dxa"/>
            <w:vMerge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  <w:r w:rsidRPr="00967C81">
              <w:rPr>
                <w:color w:val="000000"/>
                <w:sz w:val="22"/>
                <w:szCs w:val="22"/>
              </w:rPr>
              <w:t xml:space="preserve"> Strzykawki 10ml, kontrastujący tłok, na strzykawce logo producenta, przedłużona o min. 10%, stożek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luer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 xml:space="preserve"> a`100 szt.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op.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566"/>
        </w:trPr>
        <w:tc>
          <w:tcPr>
            <w:tcW w:w="816" w:type="dxa"/>
            <w:vMerge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  <w:r w:rsidRPr="00967C81">
              <w:rPr>
                <w:color w:val="000000"/>
                <w:sz w:val="22"/>
                <w:szCs w:val="22"/>
              </w:rPr>
              <w:t xml:space="preserve"> Strzykawki 20ml, kontrastujący tłok, na strzykawce logo producenta, przedłużona o min. 10%, stożek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luer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 xml:space="preserve"> a`100 szt.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op.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685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Strzykawka bursztynowa jednorazowego użytku 50ml. Rok produkcji- nie wcześniej niż 2022.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278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 xml:space="preserve">Kaniula z poliuretanu do długotrwałego podawania płynów i leków z dodatkowym portem i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samodomykającym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 xml:space="preserve"> się zaworem portu górnego. Rozmiary: 24G dł. 19 mm, 22G dł. 25 mm, 20G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dł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 xml:space="preserve"> 25 mm,</w:t>
            </w:r>
            <w:r>
              <w:rPr>
                <w:color w:val="000000"/>
                <w:sz w:val="22"/>
                <w:szCs w:val="22"/>
              </w:rPr>
              <w:t xml:space="preserve"> 18G dł. 33 mm, 17G dł. 45 </w:t>
            </w:r>
            <w:r w:rsidRPr="00967C81">
              <w:rPr>
                <w:color w:val="000000"/>
                <w:sz w:val="22"/>
                <w:szCs w:val="22"/>
              </w:rPr>
              <w:t>mm, 16G dł. 50 mm, 14G dł. 50 mm. Okres ważności min. 3 lata.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35 000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1696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31.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 xml:space="preserve">Zgłębnik żołądkowy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rozm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 xml:space="preserve">. od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Ch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 xml:space="preserve"> 12 do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Ch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 xml:space="preserve"> 20 x 1050 mm. Wykonany z PCV, posiadający kolorystyczne oznaczenie rozmiaru na łączniku, numeryczne oznaczenie rozmiaru na opakowaniu. wyposażony w zatyczkę oraz łącznik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Luer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>, powierzchnia satynowa „zmrożona”, pakowany pojedynczo folia-papier, opis na opakowaniu jednostkowym w języku polskim (nadrukowany nie naklejany), sterylny. Rok produkcji – nie wcześniej niż 2022.</w:t>
            </w:r>
          </w:p>
        </w:tc>
        <w:tc>
          <w:tcPr>
            <w:tcW w:w="623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6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32.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Dren do podawania tlenu o przekroju gwiazdkowym – długość min.160cm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565"/>
        </w:trPr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33.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Nieprzepuszczalne pokrowce:</w:t>
            </w:r>
          </w:p>
        </w:tc>
        <w:tc>
          <w:tcPr>
            <w:tcW w:w="4463" w:type="dxa"/>
            <w:gridSpan w:val="5"/>
            <w:shd w:val="clear" w:color="auto" w:fill="auto"/>
            <w:noWrap/>
            <w:vAlign w:val="center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475"/>
        </w:trPr>
        <w:tc>
          <w:tcPr>
            <w:tcW w:w="816" w:type="dxa"/>
            <w:vMerge/>
            <w:vAlign w:val="center"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149" w:type="dxa"/>
            <w:shd w:val="clear" w:color="auto" w:fill="auto"/>
            <w:vAlign w:val="center"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  <w:r w:rsidRPr="00967C81">
              <w:rPr>
                <w:color w:val="000000"/>
                <w:sz w:val="22"/>
                <w:szCs w:val="22"/>
              </w:rPr>
              <w:t>Nieprzepuszczalny pokrowiec na nosze wym. 75x190 (75x185)cm typu POV-GOL lub równoważne.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B4CEC" w:rsidRPr="00967C81" w:rsidTr="00C94A8B">
        <w:trPr>
          <w:trHeight w:val="597"/>
        </w:trPr>
        <w:tc>
          <w:tcPr>
            <w:tcW w:w="816" w:type="dxa"/>
            <w:vMerge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  <w:r w:rsidRPr="00967C81">
              <w:rPr>
                <w:color w:val="000000"/>
                <w:sz w:val="22"/>
                <w:szCs w:val="22"/>
              </w:rPr>
              <w:t>Pokrowiec jednorazowy nieprzepuszczalny na koce typu POV-GOL lub równoważne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1397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34.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Cewnik do odsysania górnych dróg oddechowych od nr 5 do nr 22 CH o dł. 40-60cm.Wykonane z PCV o jakości medycznej. Dwa otwory naprzemianległe i jeden centralny, posiadający kolorystyczne oznaczenie rozmiaru na łączniku, numeryczne oznaczenie rozmiaru na opakowaniu. Powierzchnia satynowa pakowany pojedynczo. Rok produkcji- nie wcześniej niż 2022.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694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35.</w:t>
            </w:r>
          </w:p>
        </w:tc>
        <w:tc>
          <w:tcPr>
            <w:tcW w:w="7149" w:type="dxa"/>
            <w:shd w:val="clear" w:color="000000" w:fill="FFFFFF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Igła jednorazowego użytku, rozmiary od 0,5 do 1,1. Pakowane po 50 lub 100szt. Okres ważności min. 3 lata.</w:t>
            </w:r>
          </w:p>
        </w:tc>
        <w:tc>
          <w:tcPr>
            <w:tcW w:w="623" w:type="dxa"/>
            <w:shd w:val="clear" w:color="000000" w:fill="FFFFFF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000000" w:fill="FFFFFF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000000" w:fill="FFFFFF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6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36.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Igła typu „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Neoflon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>”. Okres ważności min. 3 lata.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67C81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6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37.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Igła typu „Motylek”, rozmiar od 0,5 do 0,8. Okres ważności min. 3 lata.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481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38.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r w:rsidRPr="00967C81">
              <w:rPr>
                <w:color w:val="000000"/>
                <w:sz w:val="22"/>
                <w:szCs w:val="22"/>
              </w:rPr>
              <w:t>Stazy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 xml:space="preserve"> jednorazowe, opakowanie 25szt.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op.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701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39.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 xml:space="preserve">Rurki intubacyjne bez mankietu,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rozm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>. od 2,0 do 5,0. Sterylne, pakowane pojedynczo. Rok produkcji- nie wcześniej niż 2022.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967C81">
              <w:rPr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838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40.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 xml:space="preserve">Rurki intubacyjne z mankietem,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rozm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>. od 3,0 do 10,0. Sterylne, pakowane pojedynczo. Rok produkcji nie wcześniej niż 2022.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6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41.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 xml:space="preserve">Rurki ustno-gardłowe,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rozm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>. od 000 – 4, sterylne, pakowane pojedynczo.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66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42.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Kranik trójdrożny pakowany pojedynczo, sterylny, dł. drenu min. 25 cm. Rok produkcji- nie wcześniej niż 2022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557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43.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r w:rsidRPr="00967C81">
              <w:rPr>
                <w:color w:val="000000"/>
                <w:sz w:val="22"/>
                <w:szCs w:val="22"/>
              </w:rPr>
              <w:t>Staza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 xml:space="preserve"> taktyczna 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967C81">
              <w:rPr>
                <w:color w:val="000000"/>
                <w:sz w:val="22"/>
                <w:szCs w:val="22"/>
              </w:rPr>
              <w:t>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6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44.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Opatrunek wentylowy na otwarte rany  klatki piersiowej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504"/>
        </w:trPr>
        <w:tc>
          <w:tcPr>
            <w:tcW w:w="816" w:type="dxa"/>
            <w:vMerge w:val="restart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45.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Maski</w:t>
            </w:r>
            <w:r w:rsidRPr="000C338E">
              <w:rPr>
                <w:color w:val="000000"/>
                <w:sz w:val="22"/>
                <w:szCs w:val="22"/>
              </w:rPr>
              <w:t xml:space="preserve"> do podawania tlenu</w:t>
            </w:r>
          </w:p>
        </w:tc>
        <w:tc>
          <w:tcPr>
            <w:tcW w:w="4463" w:type="dxa"/>
            <w:gridSpan w:val="5"/>
            <w:shd w:val="clear" w:color="auto" w:fill="auto"/>
            <w:noWrap/>
            <w:vAlign w:val="center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600"/>
        </w:trPr>
        <w:tc>
          <w:tcPr>
            <w:tcW w:w="816" w:type="dxa"/>
            <w:vMerge/>
            <w:vAlign w:val="center"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149" w:type="dxa"/>
            <w:shd w:val="clear" w:color="auto" w:fill="auto"/>
            <w:vAlign w:val="center"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  <w:r w:rsidRPr="00967C81">
              <w:rPr>
                <w:color w:val="000000"/>
                <w:sz w:val="22"/>
                <w:szCs w:val="22"/>
              </w:rPr>
              <w:t>Maska do podawania tlenu dla dorosłych z nebulizatorem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B4CEC" w:rsidRPr="00967C81" w:rsidTr="00C94A8B">
        <w:trPr>
          <w:trHeight w:val="600"/>
        </w:trPr>
        <w:tc>
          <w:tcPr>
            <w:tcW w:w="816" w:type="dxa"/>
            <w:vMerge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  <w:r w:rsidRPr="00967C81">
              <w:rPr>
                <w:color w:val="000000"/>
                <w:sz w:val="22"/>
                <w:szCs w:val="22"/>
              </w:rPr>
              <w:t>Maska do podawania tlenu dla dzieci z nebulizatorem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600"/>
        </w:trPr>
        <w:tc>
          <w:tcPr>
            <w:tcW w:w="816" w:type="dxa"/>
            <w:vMerge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  <w:r w:rsidRPr="00967C81">
              <w:rPr>
                <w:color w:val="000000"/>
                <w:sz w:val="22"/>
                <w:szCs w:val="22"/>
              </w:rPr>
              <w:t>Maska do podawania tlenu dla dorosłych z rezerwuarem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67C8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600"/>
        </w:trPr>
        <w:tc>
          <w:tcPr>
            <w:tcW w:w="816" w:type="dxa"/>
            <w:vMerge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</w:t>
            </w:r>
            <w:r w:rsidRPr="00967C81">
              <w:rPr>
                <w:color w:val="000000"/>
                <w:sz w:val="22"/>
                <w:szCs w:val="22"/>
              </w:rPr>
              <w:t>Maska do podawania tlenu dla dzieci z rezerwuarem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600"/>
        </w:trPr>
        <w:tc>
          <w:tcPr>
            <w:tcW w:w="816" w:type="dxa"/>
            <w:vMerge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e) </w:t>
            </w:r>
            <w:r w:rsidRPr="00967C81">
              <w:rPr>
                <w:color w:val="000000"/>
                <w:sz w:val="22"/>
                <w:szCs w:val="22"/>
              </w:rPr>
              <w:t>Maska do podawania tlenu w rozmiarze dla dorosłych i dzieci - dren 160cm lub dłuższy.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67C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761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46.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Cewnik do podawania tlenu - wąsy w rozmiarze dla dorosłych i dzieci - 160 cm lub dłuższy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67C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559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47.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Cewnik do podawania tlenu dla noworodków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1417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48.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Nakłuwacz jednorazowego użytku do pobierania próbek krwi. Konstrukcja nakłuwaczy bezpieczna dla personelu i pacjenta, eliminująca przypadkowe ukłucie i zakażenie. Igła ukryta przed i po użyciu nakłuwacza, Średnica igły, 8 mm (21G), głębokość nakłucia 2,4 mm, termin ważności min. 3 lata. Opakowanie po 100szt.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op.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559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49.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Opaska uciskowa automatyczna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1971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50.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Kołnierz ortopedyczny sztywny, jednorazowy, z możliwością sprawdzenia tętna na tętnicy szyjnej i ocenie tchawicy, regulowany w min. 3 poziomach, przenikalny dla promieni X, wyposażony w haczyki do fiksowania maseczki do podawania tlenu, posiadające na ściankach piktogramy z instrukcją obsługi (parametr wymagany przynajmniej w kołnierzu dla dorosłych). Kołnierze dla dorosłych jak i dzieci mają być tego samego producenta z identycznym sposobem doboru rozmiaru i założenia na pacjenta. Kołnierze dla dorosłych.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1979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lastRenderedPageBreak/>
              <w:t>51.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Kołnierz ortopedyczny sztywny, jednorazowy, z możliwością sprawdzenia tętna na tętnicy szyjnej i ocenie tchawicy, regulowany w min. 3 poziomach, przenikalny dla promieni X, wyposażony w haczyki do fiksowania maseczki do podawania tlenu, posiadające na ściankach piktogramy z instrukcją obsługi (parametr wymagany przynajmniej w kołnierzu dla dorosłych). Kołnierze dla dorosłych jak i dzieci mają być tego samego producenta z identycznym sposobem doboru rozmiaru i założenia na pacjenta. Kołnierze dla dzieci.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6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52.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Filtr do respiratora dla dorosłych, sterylny. Okres ważności min. 3 lata.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67C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6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53.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Filtr do respiratora dziecięcy, sterylny. Okres ważności min. 3 lata.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607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54.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Koc termiczny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67C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1267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55.</w:t>
            </w:r>
          </w:p>
        </w:tc>
        <w:tc>
          <w:tcPr>
            <w:tcW w:w="7149" w:type="dxa"/>
            <w:shd w:val="clear" w:color="auto" w:fill="auto"/>
            <w:vAlign w:val="bottom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 xml:space="preserve">Jednorazowy układ oddechowy do respiratorów z linii produktowej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Ventway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Sparrow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>; przeznaczony dla pacjentów dorosłych; średnica 22 mm; długość całkowita 180/240 cm (przed / po rozciągnięciu); jednoramienny; wyposażony w zawór wydechowy z pokrętłem regulacji PEEP, porty pomiaru ciśnienia i przepływu, przewody pomiaru oddechu, ciśnienia i przepływu zakończone wtykiem do respiratora.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561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56.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Preparat do szybkiej dezynfekcji wyrobów medycznych oraz małych i trudnodostępnych powierzchni odpornych na działanie</w:t>
            </w:r>
            <w:r w:rsidRPr="00967C81">
              <w:rPr>
                <w:color w:val="000000"/>
                <w:sz w:val="22"/>
                <w:szCs w:val="22"/>
              </w:rPr>
              <w:br/>
              <w:t xml:space="preserve">alkoholi w placówkach  medycznych ;  spektrum działania: bakteriobójczy, prątki gruźlicy,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drożdżakobójczy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 xml:space="preserve">, wirusobójczy (HIV, HBV, HCV, Adenowirus,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Herpeswirus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Coronawirus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 xml:space="preserve">/SARS,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Rotawirus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Vacciniawirus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 xml:space="preserve">, A H1N1) - w czasie do 30 sekund oraz bakteriobójczy,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prątkobójczy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 xml:space="preserve">, grzybobójczy, wirusobójczy (HIV, HBV, HCV, Adenowirus,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Herpeswirus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Coronawirus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 xml:space="preserve">/SARS,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Rotawirus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Vacciniawirus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>, A H1N1) - w czasie do 5 minut. Opakowaniu o pojemności 1000 ml + spryskiwacz. Produkt biobójczy i wyrób medyczny.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1837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lastRenderedPageBreak/>
              <w:t>57.</w:t>
            </w:r>
          </w:p>
        </w:tc>
        <w:tc>
          <w:tcPr>
            <w:tcW w:w="7149" w:type="dxa"/>
            <w:shd w:val="clear" w:color="auto" w:fill="auto"/>
            <w:vAlign w:val="bottom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 xml:space="preserve">Alkoholowy preparat w postaci żelu przeznaczony do dezynfekcji rąk,  przetestowany dermatologicznie. Bez zapachu i barwników.  Higieniczna dezynfekcja rąk   30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sek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 xml:space="preserve"> ; chirurgiczna dezynfekcja rąk  60 sek.  B,V,F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Tbc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 xml:space="preserve"> 30 sek. Skuteczny wobec wirusa Pol</w:t>
            </w:r>
            <w:r>
              <w:rPr>
                <w:color w:val="000000"/>
                <w:sz w:val="22"/>
                <w:szCs w:val="22"/>
              </w:rPr>
              <w:t xml:space="preserve">io w 60 </w:t>
            </w:r>
            <w:proofErr w:type="spellStart"/>
            <w:r>
              <w:rPr>
                <w:color w:val="000000"/>
                <w:sz w:val="22"/>
                <w:szCs w:val="22"/>
              </w:rPr>
              <w:t>sek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oraz </w:t>
            </w:r>
            <w:proofErr w:type="spellStart"/>
            <w:r>
              <w:rPr>
                <w:color w:val="000000"/>
                <w:sz w:val="22"/>
                <w:szCs w:val="22"/>
              </w:rPr>
              <w:t>Adeno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, Noro (</w:t>
            </w:r>
            <w:proofErr w:type="spellStart"/>
            <w:r>
              <w:rPr>
                <w:color w:val="000000"/>
                <w:sz w:val="22"/>
                <w:szCs w:val="22"/>
              </w:rPr>
              <w:t>Norowirus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mysi</w:t>
            </w:r>
            <w:r w:rsidRPr="00967C81">
              <w:rPr>
                <w:color w:val="000000"/>
                <w:sz w:val="22"/>
                <w:szCs w:val="22"/>
              </w:rPr>
              <w:t xml:space="preserve">) , Rota, RSV ,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Vaccinia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 xml:space="preserve">  w 30 sek. Przebadany zgodnie z normami EN 1500</w:t>
            </w:r>
            <w:r>
              <w:rPr>
                <w:color w:val="000000"/>
                <w:sz w:val="22"/>
                <w:szCs w:val="22"/>
              </w:rPr>
              <w:t xml:space="preserve"> lub równoważną</w:t>
            </w:r>
            <w:r w:rsidRPr="00967C81">
              <w:rPr>
                <w:color w:val="000000"/>
                <w:sz w:val="22"/>
                <w:szCs w:val="22"/>
              </w:rPr>
              <w:t>, EN 12791</w:t>
            </w:r>
            <w:r>
              <w:t xml:space="preserve"> </w:t>
            </w:r>
            <w:r w:rsidRPr="00F73992">
              <w:rPr>
                <w:color w:val="000000"/>
                <w:sz w:val="22"/>
                <w:szCs w:val="22"/>
              </w:rPr>
              <w:t>lub równoważną</w:t>
            </w:r>
            <w:r w:rsidRPr="00967C81">
              <w:rPr>
                <w:color w:val="000000"/>
                <w:sz w:val="22"/>
                <w:szCs w:val="22"/>
              </w:rPr>
              <w:t>, EN 13727</w:t>
            </w:r>
            <w:r>
              <w:t xml:space="preserve"> </w:t>
            </w:r>
            <w:r w:rsidRPr="00F73992">
              <w:rPr>
                <w:color w:val="000000"/>
                <w:sz w:val="22"/>
                <w:szCs w:val="22"/>
              </w:rPr>
              <w:t>lub równoważną</w:t>
            </w:r>
            <w:r w:rsidRPr="00967C81">
              <w:rPr>
                <w:color w:val="000000"/>
                <w:sz w:val="22"/>
                <w:szCs w:val="22"/>
              </w:rPr>
              <w:t>, EN 13624</w:t>
            </w:r>
            <w:r>
              <w:t xml:space="preserve"> </w:t>
            </w:r>
            <w:r w:rsidRPr="00F73992">
              <w:rPr>
                <w:color w:val="000000"/>
                <w:sz w:val="22"/>
                <w:szCs w:val="22"/>
              </w:rPr>
              <w:t>lub równoważną</w:t>
            </w:r>
            <w:r w:rsidRPr="00967C81">
              <w:rPr>
                <w:color w:val="000000"/>
                <w:sz w:val="22"/>
                <w:szCs w:val="22"/>
              </w:rPr>
              <w:t>, EN 14348</w:t>
            </w:r>
            <w:r>
              <w:t xml:space="preserve"> </w:t>
            </w:r>
            <w:r w:rsidRPr="00F73992">
              <w:rPr>
                <w:color w:val="000000"/>
                <w:sz w:val="22"/>
                <w:szCs w:val="22"/>
              </w:rPr>
              <w:t>lub równoważną</w:t>
            </w:r>
            <w:r w:rsidRPr="00967C81">
              <w:rPr>
                <w:color w:val="000000"/>
                <w:sz w:val="22"/>
                <w:szCs w:val="22"/>
              </w:rPr>
              <w:t>, EN 14476</w:t>
            </w:r>
            <w:r>
              <w:rPr>
                <w:color w:val="000000"/>
                <w:sz w:val="22"/>
                <w:szCs w:val="22"/>
              </w:rPr>
              <w:t xml:space="preserve"> lub równoważną</w:t>
            </w:r>
            <w:r w:rsidRPr="00967C81">
              <w:rPr>
                <w:color w:val="000000"/>
                <w:sz w:val="22"/>
                <w:szCs w:val="22"/>
              </w:rPr>
              <w:t>. Opakowanie 500 ml + pompka.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2688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58.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Neutralny enzymatyczny preparat do manualnego mycia i dezynfekcji narzędzi medycznych oraz sprzętu endoskopowego. Spektrum:</w:t>
            </w:r>
            <w:r w:rsidRPr="00967C81">
              <w:rPr>
                <w:color w:val="000000"/>
                <w:sz w:val="22"/>
                <w:szCs w:val="22"/>
              </w:rPr>
              <w:br/>
              <w:t xml:space="preserve">* B i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drożdżakobójcze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 xml:space="preserve"> (wg. VAH - warunki brudne) - 0,5% w 15min</w:t>
            </w:r>
            <w:r w:rsidRPr="00967C81">
              <w:rPr>
                <w:color w:val="000000"/>
                <w:sz w:val="22"/>
                <w:szCs w:val="22"/>
              </w:rPr>
              <w:br/>
              <w:t>* B (zgodnie z EN 13727 i EN 14561 - warunki brudne</w:t>
            </w:r>
            <w:r>
              <w:rPr>
                <w:color w:val="000000"/>
                <w:sz w:val="22"/>
                <w:szCs w:val="22"/>
              </w:rPr>
              <w:t>; lub równoważną</w:t>
            </w:r>
            <w:r w:rsidRPr="00967C81">
              <w:rPr>
                <w:color w:val="000000"/>
                <w:sz w:val="22"/>
                <w:szCs w:val="22"/>
              </w:rPr>
              <w:t>) - 0,5% w 5min</w:t>
            </w:r>
            <w:r w:rsidRPr="00967C81">
              <w:rPr>
                <w:color w:val="000000"/>
                <w:sz w:val="22"/>
                <w:szCs w:val="22"/>
              </w:rPr>
              <w:br/>
              <w:t xml:space="preserve">*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drożdżakobójcze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 xml:space="preserve"> (zgodnie z EN 13624 i EN 14562 - warunki brudne</w:t>
            </w:r>
            <w:r>
              <w:rPr>
                <w:color w:val="000000"/>
                <w:sz w:val="22"/>
                <w:szCs w:val="22"/>
              </w:rPr>
              <w:t>; lub równoważną</w:t>
            </w:r>
            <w:r w:rsidRPr="00967C81">
              <w:rPr>
                <w:color w:val="000000"/>
                <w:sz w:val="22"/>
                <w:szCs w:val="22"/>
              </w:rPr>
              <w:t>) - 0,5% w 5min</w:t>
            </w:r>
            <w:r w:rsidRPr="00967C81">
              <w:rPr>
                <w:color w:val="000000"/>
                <w:sz w:val="22"/>
                <w:szCs w:val="22"/>
              </w:rPr>
              <w:br/>
              <w:t xml:space="preserve">*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pratki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 xml:space="preserve"> gruźlicy (zgodnie z EN 14348 i EN 14563 - warunki brudne</w:t>
            </w:r>
            <w:r>
              <w:rPr>
                <w:color w:val="000000"/>
                <w:sz w:val="22"/>
                <w:szCs w:val="22"/>
              </w:rPr>
              <w:t>; lub równoważną</w:t>
            </w:r>
            <w:r w:rsidRPr="00967C81">
              <w:rPr>
                <w:color w:val="000000"/>
                <w:sz w:val="22"/>
                <w:szCs w:val="22"/>
              </w:rPr>
              <w:t>) - 1% w 30min</w:t>
            </w:r>
            <w:r w:rsidRPr="00967C81">
              <w:rPr>
                <w:color w:val="000000"/>
                <w:sz w:val="22"/>
                <w:szCs w:val="22"/>
              </w:rPr>
              <w:br/>
              <w:t>* V osłonkowe (zgodnie z EN 14476 / EN 1711 - warunki brudne</w:t>
            </w:r>
            <w:r>
              <w:rPr>
                <w:color w:val="000000"/>
                <w:sz w:val="22"/>
                <w:szCs w:val="22"/>
              </w:rPr>
              <w:t>; lub równoważną</w:t>
            </w:r>
            <w:r w:rsidRPr="00967C81">
              <w:rPr>
                <w:color w:val="000000"/>
                <w:sz w:val="22"/>
                <w:szCs w:val="22"/>
              </w:rPr>
              <w:t>) - 0,5% w 15min. Opakowanie 1 L.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4CEC" w:rsidRPr="00967C81" w:rsidTr="00C94A8B">
        <w:trPr>
          <w:trHeight w:val="2400"/>
        </w:trPr>
        <w:tc>
          <w:tcPr>
            <w:tcW w:w="816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59.</w:t>
            </w:r>
          </w:p>
        </w:tc>
        <w:tc>
          <w:tcPr>
            <w:tcW w:w="7149" w:type="dxa"/>
            <w:shd w:val="clear" w:color="auto" w:fill="auto"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Preparat w postaci szybkodziałającej gotowej pianki do dezynfekcji i mycia powierzchni medycznych wrażliwych nadziałanie alkoholu (w tym urządzeń elektronicznych , monitory, telefony komórkowe). Preparat na bazie H2O2 (&lt; 2%) bez zawartości alkoholu, chloru, kwasu nadoctowego, QAV). Spektrum działania: zgodnie z EN 16615 B, F (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Candidia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albicans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>lub równoważną</w:t>
            </w:r>
            <w:r w:rsidRPr="00967C81">
              <w:rPr>
                <w:color w:val="000000"/>
                <w:sz w:val="22"/>
                <w:szCs w:val="22"/>
              </w:rPr>
              <w:t xml:space="preserve"> – 1 min, F,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Tbc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 xml:space="preserve">, S (Cl.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Difficile</w:t>
            </w:r>
            <w:proofErr w:type="spellEnd"/>
            <w:r w:rsidRPr="00967C81">
              <w:rPr>
                <w:color w:val="000000"/>
                <w:sz w:val="22"/>
                <w:szCs w:val="22"/>
              </w:rPr>
              <w:t xml:space="preserve"> R 027) – 5min, V zgodnie z RKI i EN 14476 </w:t>
            </w:r>
            <w:r>
              <w:rPr>
                <w:color w:val="000000"/>
                <w:sz w:val="22"/>
                <w:szCs w:val="22"/>
              </w:rPr>
              <w:t xml:space="preserve">lub równoważną </w:t>
            </w:r>
            <w:r w:rsidRPr="00967C81">
              <w:rPr>
                <w:color w:val="000000"/>
                <w:sz w:val="22"/>
                <w:szCs w:val="22"/>
              </w:rPr>
              <w:t xml:space="preserve">(HBV, HCV, HIV, </w:t>
            </w:r>
            <w:proofErr w:type="spellStart"/>
            <w:r w:rsidRPr="00967C81">
              <w:rPr>
                <w:color w:val="000000"/>
                <w:sz w:val="22"/>
                <w:szCs w:val="22"/>
              </w:rPr>
              <w:t>Ad</w:t>
            </w:r>
            <w:r>
              <w:rPr>
                <w:color w:val="000000"/>
                <w:sz w:val="22"/>
                <w:szCs w:val="22"/>
              </w:rPr>
              <w:t>eno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Polyoma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SV40, Noro, Polio) lub równoważną</w:t>
            </w:r>
            <w:r w:rsidRPr="00967C81">
              <w:rPr>
                <w:color w:val="000000"/>
                <w:sz w:val="22"/>
                <w:szCs w:val="22"/>
              </w:rPr>
              <w:t xml:space="preserve"> – do 2 min. Okres trwałości po pierwszym otwarciu – do końca okresu ważności. Możliwość stosowania bez użycia środków ochrony indywidualnych. Opakowanie  750ml. Produkt biobójczy i wyrób medyczny.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:rsidR="005B4CEC" w:rsidRPr="00967C81" w:rsidRDefault="005B4CEC" w:rsidP="00C94A8B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967C81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5B4CEC" w:rsidRDefault="005B4CEC" w:rsidP="005B4CEC">
      <w:pPr>
        <w:suppressAutoHyphens/>
        <w:autoSpaceDN w:val="0"/>
        <w:spacing w:line="276" w:lineRule="auto"/>
        <w:textAlignment w:val="baseline"/>
        <w:rPr>
          <w:b/>
          <w:bCs/>
          <w:color w:val="000000"/>
          <w:kern w:val="3"/>
        </w:rPr>
      </w:pPr>
    </w:p>
    <w:p w:rsidR="005B4CEC" w:rsidRDefault="005B4CEC" w:rsidP="005B4CEC">
      <w:pPr>
        <w:spacing w:line="276" w:lineRule="auto"/>
      </w:pPr>
    </w:p>
    <w:p w:rsidR="005B4CEC" w:rsidRDefault="005B4CEC" w:rsidP="005B4CEC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5B4CEC" w:rsidRDefault="005B4CEC" w:rsidP="005B4CEC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5B4CEC" w:rsidRDefault="005B4CEC" w:rsidP="005B4CEC">
      <w:pPr>
        <w:suppressAutoHyphens/>
        <w:autoSpaceDN w:val="0"/>
        <w:spacing w:line="276" w:lineRule="auto"/>
        <w:textAlignment w:val="baseline"/>
        <w:rPr>
          <w:color w:val="000000"/>
          <w:kern w:val="3"/>
        </w:rPr>
      </w:pPr>
    </w:p>
    <w:p w:rsidR="005B4CEC" w:rsidRPr="00D33D20" w:rsidRDefault="005B4CEC" w:rsidP="005B4CEC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  <w:t>…………………………………….……………………………………….</w:t>
      </w:r>
    </w:p>
    <w:p w:rsidR="005B4CEC" w:rsidRPr="00567958" w:rsidRDefault="005B4CEC" w:rsidP="005B4CEC">
      <w:pPr>
        <w:suppressAutoHyphens/>
        <w:autoSpaceDN w:val="0"/>
        <w:spacing w:line="276" w:lineRule="auto"/>
        <w:jc w:val="right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i/>
          <w:color w:val="000000"/>
          <w:kern w:val="3"/>
          <w:sz w:val="22"/>
          <w:szCs w:val="22"/>
        </w:rPr>
        <w:t xml:space="preserve"> kwalifikowany podpis elektroniczny lub pod</w:t>
      </w:r>
      <w:r>
        <w:rPr>
          <w:bCs/>
          <w:i/>
          <w:color w:val="000000"/>
          <w:kern w:val="3"/>
          <w:sz w:val="22"/>
          <w:szCs w:val="22"/>
        </w:rPr>
        <w:t>pis zaufany lub podpis osobisty</w:t>
      </w:r>
    </w:p>
    <w:p w:rsidR="005B4CEC" w:rsidRPr="00774C98" w:rsidRDefault="005B4CEC" w:rsidP="005B4CEC">
      <w:pPr>
        <w:widowControl w:val="0"/>
        <w:suppressAutoHyphens/>
        <w:autoSpaceDN w:val="0"/>
        <w:spacing w:line="276" w:lineRule="auto"/>
        <w:textAlignment w:val="baseline"/>
        <w:rPr>
          <w:kern w:val="3"/>
        </w:rPr>
      </w:pPr>
    </w:p>
    <w:p w:rsidR="00230601" w:rsidRDefault="005B4CEC" w:rsidP="005B4CEC">
      <w:r w:rsidRPr="00F208E6">
        <w:rPr>
          <w:bCs/>
          <w:kern w:val="3"/>
          <w:sz w:val="18"/>
        </w:rPr>
        <w:t>Uwaga, w przypadku Wykonawców nie mających siedziby lub miejsca zamieszkania na terytorium Rzeczypospolitej Polskiej formularz należy wypełnić podając cenę netto, wyrażoną w PLN (nie uwzględniającą podatku od towarów i usług obowiązującego w Polsce), obejmującą wszelkie koszty związane z wykonaniem zamówienia, wszystkie opłaty, podatki (bez podatku od towarów i usług VAT) i wszystkie inne koszty o jakimkolwiek charakterze, które mogą powstać I w związku z realizacją przedmiotu zamówienia</w:t>
      </w:r>
    </w:p>
    <w:sectPr w:rsidR="00230601" w:rsidSect="005B4CEC">
      <w:pgSz w:w="16838" w:h="11906" w:orient="landscape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EC"/>
    <w:rsid w:val="00230601"/>
    <w:rsid w:val="005B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1986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2023-09-18T09:56:00Z</dcterms:created>
  <dcterms:modified xsi:type="dcterms:W3CDTF">2023-09-18T09:56:00Z</dcterms:modified>
</cp:coreProperties>
</file>